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1D7B6932"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w:t>
      </w:r>
      <w:r w:rsidR="003363A3">
        <w:rPr>
          <w:rFonts w:ascii="Century" w:hAnsi="Century"/>
          <w:b/>
          <w:bCs/>
          <w:i/>
          <w:iCs/>
        </w:rPr>
        <w:t>1</w:t>
      </w:r>
      <w:r w:rsidR="004B0420">
        <w:rPr>
          <w:rFonts w:ascii="Century" w:hAnsi="Century"/>
          <w:b/>
          <w:bCs/>
          <w:i/>
          <w:iCs/>
        </w:rPr>
        <w:t>6</w:t>
      </w:r>
      <w:r w:rsidR="006A41A2">
        <w:rPr>
          <w:rFonts w:ascii="Century" w:hAnsi="Century"/>
          <w:b/>
          <w:bCs/>
          <w:i/>
          <w:iCs/>
        </w:rPr>
        <w:t xml:space="preserve"> </w:t>
      </w:r>
      <w:r>
        <w:rPr>
          <w:rFonts w:ascii="Century" w:hAnsi="Century"/>
          <w:b/>
          <w:bCs/>
          <w:i/>
          <w:iCs/>
        </w:rPr>
        <w:t xml:space="preserve">del </w:t>
      </w:r>
      <w:r w:rsidR="004B0420">
        <w:rPr>
          <w:rFonts w:ascii="Century" w:hAnsi="Century"/>
          <w:b/>
          <w:bCs/>
          <w:i/>
          <w:iCs/>
        </w:rPr>
        <w:t>31.10</w:t>
      </w:r>
      <w:r w:rsidR="00D37BA0">
        <w:rPr>
          <w:rFonts w:ascii="Century" w:hAnsi="Century"/>
          <w:b/>
          <w:bCs/>
          <w:i/>
          <w:iCs/>
        </w:rPr>
        <w:t>.2026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4179220D" w14:textId="11478DAC" w:rsidR="00284C59" w:rsidRDefault="004B0420" w:rsidP="004B0420">
      <w:pPr>
        <w:pStyle w:val="Corpodeltesto2"/>
        <w:numPr>
          <w:ilvl w:val="0"/>
          <w:numId w:val="32"/>
        </w:numPr>
        <w:rPr>
          <w:u w:val="single"/>
        </w:rPr>
      </w:pPr>
      <w:r w:rsidRPr="004B0420">
        <w:rPr>
          <w:u w:val="single"/>
        </w:rPr>
        <w:t>Legge di Bilancio 2027: bonus e finanziamenti per le imprese</w:t>
      </w:r>
    </w:p>
    <w:p w14:paraId="564810C0" w14:textId="77777777" w:rsidR="00284C59" w:rsidRDefault="00284C59" w:rsidP="00284C59">
      <w:pPr>
        <w:pStyle w:val="Corpodeltesto2"/>
        <w:rPr>
          <w:u w:val="single"/>
        </w:rPr>
      </w:pPr>
    </w:p>
    <w:p w14:paraId="33B10035" w14:textId="77777777" w:rsidR="004B0420" w:rsidRPr="004B0420" w:rsidRDefault="004B0420" w:rsidP="004B0420">
      <w:pPr>
        <w:pStyle w:val="Corpodeltesto2"/>
      </w:pPr>
      <w:r w:rsidRPr="004B0420">
        <w:t xml:space="preserve">Tra le principali misure agevolative contenute nella </w:t>
      </w:r>
      <w:r w:rsidRPr="004B0420">
        <w:rPr>
          <w:u w:val="single"/>
        </w:rPr>
        <w:t xml:space="preserve">bozza del disegno di legge di Bilancio 2027, approvato dal </w:t>
      </w:r>
      <w:proofErr w:type="gramStart"/>
      <w:r w:rsidRPr="004B0420">
        <w:rPr>
          <w:u w:val="single"/>
        </w:rPr>
        <w:t>Consiglio dei Ministri</w:t>
      </w:r>
      <w:proofErr w:type="gramEnd"/>
      <w:r w:rsidRPr="004B0420">
        <w:rPr>
          <w:u w:val="single"/>
        </w:rPr>
        <w:t xml:space="preserve"> del 28 ottobre 2026,</w:t>
      </w:r>
      <w:r w:rsidRPr="004B0420">
        <w:t xml:space="preserve"> figurano:</w:t>
      </w:r>
    </w:p>
    <w:p w14:paraId="2861B49E" w14:textId="77777777" w:rsidR="004B0420" w:rsidRPr="004B0420" w:rsidRDefault="004B0420" w:rsidP="004B0420">
      <w:pPr>
        <w:pStyle w:val="Corpodeltesto2"/>
      </w:pPr>
    </w:p>
    <w:p w14:paraId="475AD030" w14:textId="77777777" w:rsidR="004B0420" w:rsidRPr="004B0420" w:rsidRDefault="004B0420" w:rsidP="004B0420">
      <w:pPr>
        <w:pStyle w:val="Corpodeltesto2"/>
        <w:rPr>
          <w:u w:val="single"/>
        </w:rPr>
      </w:pPr>
      <w:r w:rsidRPr="004B0420">
        <w:rPr>
          <w:u w:val="single"/>
        </w:rPr>
        <w:t>a) il rifinanziamento del credito d’imposta ZES unica,</w:t>
      </w:r>
    </w:p>
    <w:p w14:paraId="01F1A386" w14:textId="77777777" w:rsidR="004B0420" w:rsidRPr="004B0420" w:rsidRDefault="004B0420" w:rsidP="004B0420">
      <w:pPr>
        <w:pStyle w:val="Corpodeltesto2"/>
        <w:rPr>
          <w:u w:val="single"/>
        </w:rPr>
      </w:pPr>
      <w:r w:rsidRPr="004B0420">
        <w:rPr>
          <w:u w:val="single"/>
        </w:rPr>
        <w:t xml:space="preserve">b) il nuovo credito di imposta per il software in cloud, </w:t>
      </w:r>
    </w:p>
    <w:p w14:paraId="2E1AF63E" w14:textId="77777777" w:rsidR="004B0420" w:rsidRPr="004B0420" w:rsidRDefault="004B0420" w:rsidP="004B0420">
      <w:pPr>
        <w:pStyle w:val="Corpodeltesto2"/>
        <w:rPr>
          <w:u w:val="single"/>
        </w:rPr>
      </w:pPr>
      <w:r w:rsidRPr="004B0420">
        <w:rPr>
          <w:u w:val="single"/>
        </w:rPr>
        <w:t>c) il rafforzamento e la proroga fino al 2029 del credito d'imposta Agricoltura 4.0,</w:t>
      </w:r>
    </w:p>
    <w:p w14:paraId="5B656298" w14:textId="77777777" w:rsidR="004B0420" w:rsidRPr="004B0420" w:rsidRDefault="004B0420" w:rsidP="004B0420">
      <w:pPr>
        <w:pStyle w:val="Corpodeltesto2"/>
        <w:rPr>
          <w:u w:val="single"/>
        </w:rPr>
      </w:pPr>
      <w:r w:rsidRPr="004B0420">
        <w:rPr>
          <w:u w:val="single"/>
        </w:rPr>
        <w:t xml:space="preserve">d) la conferma anche per il prossimo anno delle aliquote del 50%-36% per i bonus edilizi e del bonus mobili. </w:t>
      </w:r>
    </w:p>
    <w:p w14:paraId="5B84494B" w14:textId="77777777" w:rsidR="004B0420" w:rsidRPr="004B0420" w:rsidRDefault="004B0420" w:rsidP="004B0420">
      <w:pPr>
        <w:pStyle w:val="Corpodeltesto2"/>
      </w:pPr>
    </w:p>
    <w:p w14:paraId="7CFCA78C" w14:textId="77777777" w:rsidR="004B0420" w:rsidRPr="004B0420" w:rsidRDefault="004B0420" w:rsidP="004B0420">
      <w:pPr>
        <w:pStyle w:val="Corpodeltesto2"/>
      </w:pPr>
      <w:r w:rsidRPr="004B0420">
        <w:t>Al momento, invece, non è prevista la proroga dell’iperammortamento annunciata dal ministro delle Imprese e del Made in Italy.</w:t>
      </w:r>
    </w:p>
    <w:p w14:paraId="03B495E2" w14:textId="77777777" w:rsidR="004B0420" w:rsidRPr="004B0420" w:rsidRDefault="004B0420" w:rsidP="004B0420">
      <w:pPr>
        <w:pStyle w:val="Corpodeltesto2"/>
      </w:pPr>
    </w:p>
    <w:p w14:paraId="41E6A17E" w14:textId="77777777" w:rsidR="004B0420" w:rsidRPr="004B0420" w:rsidRDefault="004B0420" w:rsidP="004B0420">
      <w:pPr>
        <w:pStyle w:val="Corpodeltesto2"/>
        <w:rPr>
          <w:u w:val="single"/>
        </w:rPr>
      </w:pPr>
      <w:r w:rsidRPr="004B0420">
        <w:rPr>
          <w:u w:val="single"/>
        </w:rPr>
        <w:t>Rifinanziamento del credito d’imposta ZES unica</w:t>
      </w:r>
    </w:p>
    <w:p w14:paraId="47CE46EC" w14:textId="77777777" w:rsidR="004B0420" w:rsidRPr="004B0420" w:rsidRDefault="004B0420" w:rsidP="004B0420">
      <w:pPr>
        <w:pStyle w:val="Corpodeltesto2"/>
      </w:pPr>
    </w:p>
    <w:p w14:paraId="4F83B801" w14:textId="77777777" w:rsidR="004B0420" w:rsidRPr="004B0420" w:rsidRDefault="004B0420" w:rsidP="004B0420">
      <w:pPr>
        <w:pStyle w:val="Corpodeltesto2"/>
      </w:pPr>
      <w:r w:rsidRPr="004B0420">
        <w:t>Entrando nel merito delle misure, il credito d’imposta ZES unica viene rifinanziato dalla bozza della Manovra 2027 con 1,4 miliardi nel 2027 e 500 milioni nel 2028.</w:t>
      </w:r>
    </w:p>
    <w:p w14:paraId="0B36EA43" w14:textId="77777777" w:rsidR="004B0420" w:rsidRPr="004B0420" w:rsidRDefault="004B0420" w:rsidP="004B0420">
      <w:pPr>
        <w:pStyle w:val="Corpodeltesto2"/>
      </w:pPr>
      <w:r w:rsidRPr="004B0420">
        <w:t>Il nuovo stanziamento si aggiunge alle risorse già previste dalla legge di Bilancio 2026 (articolo 1, comma 438, legge n. 199/2025), pari a un miliardo per il 2027 e 750 milioni per il 2028.</w:t>
      </w:r>
    </w:p>
    <w:p w14:paraId="54C5D565" w14:textId="77777777" w:rsidR="004B0420" w:rsidRPr="004B0420" w:rsidRDefault="004B0420" w:rsidP="004B0420">
      <w:pPr>
        <w:pStyle w:val="Corpodeltesto2"/>
      </w:pPr>
      <w:r w:rsidRPr="004B0420">
        <w:t>Per effetto dell’incremento, la dotazione complessiva della misura viene quindi rideterminata in 2,4 miliardi di euro per il 2027 e 1,25 miliardi nel 2028.</w:t>
      </w:r>
    </w:p>
    <w:p w14:paraId="4498615A" w14:textId="77777777" w:rsidR="004B0420" w:rsidRPr="004B0420" w:rsidRDefault="004B0420" w:rsidP="004B0420">
      <w:pPr>
        <w:pStyle w:val="Corpodeltesto2"/>
      </w:pPr>
      <w:r w:rsidRPr="004B0420">
        <w:t>Nessuna modifica invece è apportata alla disciplina dell’agevolazione.</w:t>
      </w:r>
    </w:p>
    <w:p w14:paraId="24DB957C" w14:textId="77777777" w:rsidR="004B0420" w:rsidRPr="004B0420" w:rsidRDefault="004B0420" w:rsidP="004B0420">
      <w:pPr>
        <w:pStyle w:val="Corpodeltesto2"/>
      </w:pPr>
      <w:r w:rsidRPr="004B0420">
        <w:t>Il credito di imposta, di cui all'articolo 16 del D.L. n. 124/2023, spetta a tutte le imprese, indipendentemente dalla forma giuridica e dal regime contabile adottato, già operative o che si insediano nella ZES unica, in relazione all’acquisizione dei beni strumentali destinati a strutture produttive ubicate nelle regioni Campania, Puglia, Basilicata, Calabria, Sicilia, Sardegna e Molise e nelle zone assistite delle regioni Marche, Umbria e Abruzzo, ammissibili alla deroga prevista dall’articolo 107, paragrafo 3, lettera c), del Trattato sul funzionamento dell’Unione europea, come individuate dalla Carta degli aiuti a finalità regionale 2022-2027.</w:t>
      </w:r>
    </w:p>
    <w:p w14:paraId="17027D15" w14:textId="77777777" w:rsidR="004B0420" w:rsidRPr="004B0420" w:rsidRDefault="004B0420" w:rsidP="004B0420">
      <w:pPr>
        <w:pStyle w:val="Corpodeltesto2"/>
      </w:pPr>
      <w:r w:rsidRPr="004B0420">
        <w:lastRenderedPageBreak/>
        <w:t>Sono agevolabili gli investimenti, facenti parte di un progetto di investimento iniziale come definito all’art. 2, punti 49, 50 e 51, del regolamento (UE) n. 651 del 2014, relativi all’acquisto, anche mediante contratti di locazione finanziaria, di nuovi macchinari, impianti e attrezzature varie destinati a strutture produttive già esistenti o che verranno impiantate nella ZES unica, nonché all’acquisto di terreni e all’acquisizione, alla realizzazione ovvero all’ampliamento di immobili strumentali agli investimenti ed effettivamente utilizzati per l’esercizio dell’attività nella struttura produttiva. Nel caso di beni immobili strumentali, sono agevolabili gli investimenti anche se riguardano beni già utilizzati dal dante causa o da altri soggetti per lo svolgimento di un’attività economica.</w:t>
      </w:r>
    </w:p>
    <w:p w14:paraId="55854999" w14:textId="77777777" w:rsidR="004B0420" w:rsidRPr="004B0420" w:rsidRDefault="004B0420" w:rsidP="004B0420">
      <w:pPr>
        <w:pStyle w:val="Corpodeltesto2"/>
      </w:pPr>
      <w:r w:rsidRPr="004B0420">
        <w:t>Il valore dei terreni e dei fabbricati ammessi all’agevolazione non può superare il 50% del valore complessivo dell’investimento agevolato.</w:t>
      </w:r>
    </w:p>
    <w:p w14:paraId="75654A8B" w14:textId="77777777" w:rsidR="004B0420" w:rsidRPr="004B0420" w:rsidRDefault="004B0420" w:rsidP="004B0420">
      <w:pPr>
        <w:pStyle w:val="Corpodeltesto2"/>
      </w:pPr>
      <w:r w:rsidRPr="004B0420">
        <w:t xml:space="preserve">Il credito d’imposta è commisurato alla quota del costo complessivo dei beni indicati, nel limite massimo, per ciascun progetto di investimento, di </w:t>
      </w:r>
      <w:proofErr w:type="gramStart"/>
      <w:r w:rsidRPr="004B0420">
        <w:t>100</w:t>
      </w:r>
      <w:proofErr w:type="gramEnd"/>
      <w:r w:rsidRPr="004B0420">
        <w:t xml:space="preserve"> milioni di euro. Per gli investimenti effettuati mediante contratti di locazione finanziaria, si assume il costo sostenuto dal locatore per l’acquisto dei beni al netto delle spese di manutenzione. Non sono agevolabili i progetti di investimento di importo inferiore a 200.000 euro.</w:t>
      </w:r>
    </w:p>
    <w:p w14:paraId="49E9C024" w14:textId="77777777" w:rsidR="004B0420" w:rsidRPr="004B0420" w:rsidRDefault="004B0420" w:rsidP="004B0420">
      <w:pPr>
        <w:pStyle w:val="Corpodeltesto2"/>
      </w:pPr>
      <w:r w:rsidRPr="004B0420">
        <w:t>Il credito è differenziato per regioni, dimensioni dell’impresa ed entità dell’investimento.</w:t>
      </w:r>
    </w:p>
    <w:p w14:paraId="277CF27B" w14:textId="77777777" w:rsidR="004B0420" w:rsidRPr="004B0420" w:rsidRDefault="004B0420" w:rsidP="004B0420">
      <w:pPr>
        <w:pStyle w:val="Corpodeltesto2"/>
      </w:pPr>
      <w:r w:rsidRPr="004B0420">
        <w:t>Ai fini della fruizione del credito di imposta, è necessario inviare all’Agenzia delle Entrate:</w:t>
      </w:r>
    </w:p>
    <w:p w14:paraId="7F6F2482" w14:textId="77777777" w:rsidR="004B0420" w:rsidRPr="004B0420" w:rsidRDefault="004B0420" w:rsidP="004B0420">
      <w:pPr>
        <w:pStyle w:val="Corpodeltesto2"/>
      </w:pPr>
      <w:r w:rsidRPr="004B0420">
        <w:t>- una comunicazione preventiva, nella quale devono essere indicati l’ammontare delle spese sostenute per gli investimenti realizzati dal 1° gennaio di ciascun anno e l’ammontare delle spese che prevedono si prevede di sostenere per gli investimenti realizzati fino al 31 dicembre di ciascun anno;</w:t>
      </w:r>
    </w:p>
    <w:p w14:paraId="65D88889" w14:textId="77777777" w:rsidR="004B0420" w:rsidRPr="004B0420" w:rsidRDefault="004B0420" w:rsidP="004B0420">
      <w:pPr>
        <w:pStyle w:val="Corpodeltesto2"/>
      </w:pPr>
      <w:r w:rsidRPr="004B0420">
        <w:t>- una comunicazione integrativa attestante l’avvenuta realizzazione degli investimenti indicati nella comunicazione preventiva. La mancata presentazione di detta comunicazione integrativa comporterà la decadenza dell’agevolazione.</w:t>
      </w:r>
    </w:p>
    <w:p w14:paraId="3EFACC9B" w14:textId="77777777" w:rsidR="004B0420" w:rsidRPr="004B0420" w:rsidRDefault="004B0420" w:rsidP="004B0420">
      <w:pPr>
        <w:pStyle w:val="Corpodeltesto2"/>
      </w:pPr>
      <w:r w:rsidRPr="004B0420">
        <w:t>Come stabilito dalla legge di Bilancio 2026 (articolo 1, comma 439, legge n. 199/2025), per il 2027:</w:t>
      </w:r>
    </w:p>
    <w:p w14:paraId="3688322C" w14:textId="77777777" w:rsidR="004B0420" w:rsidRPr="004B0420" w:rsidRDefault="004B0420" w:rsidP="004B0420">
      <w:pPr>
        <w:pStyle w:val="Corpodeltesto2"/>
      </w:pPr>
      <w:r w:rsidRPr="004B0420">
        <w:t>- la comunicazione preventiva dovrà essere inviata dal 31 marzo 2027 al 30 maggio 2027. In tale comunicazione dovranno essere indicati l’ammontare delle spese sostenute per gli investimenti realizzati dal 1° gennaio 2027 e l’ammontare delle spese che si prevede di sostenere per gli investimenti realizzati fino al 31 dicembre 2027;</w:t>
      </w:r>
    </w:p>
    <w:p w14:paraId="21F98FFD" w14:textId="77777777" w:rsidR="004B0420" w:rsidRPr="004B0420" w:rsidRDefault="004B0420" w:rsidP="004B0420">
      <w:pPr>
        <w:pStyle w:val="Corpodeltesto2"/>
      </w:pPr>
      <w:r w:rsidRPr="004B0420">
        <w:t>- la comunicazione integrativa dovrà essere inviata dal 3 gennaio 2028 al 17 gennaio 2028. In tale comunicazione dovrà essere indicato l’ammontare degli investimenti effettivamente realizzati dal 1° gennaio 2027 al 31 dicembre 2027.</w:t>
      </w:r>
    </w:p>
    <w:p w14:paraId="7E1593C1" w14:textId="77777777" w:rsidR="004B0420" w:rsidRPr="004B0420" w:rsidRDefault="004B0420" w:rsidP="004B0420">
      <w:pPr>
        <w:pStyle w:val="Corpodeltesto2"/>
      </w:pPr>
    </w:p>
    <w:p w14:paraId="1CD251D2" w14:textId="77777777" w:rsidR="004B0420" w:rsidRPr="004B0420" w:rsidRDefault="004B0420" w:rsidP="004B0420">
      <w:pPr>
        <w:pStyle w:val="Corpodeltesto2"/>
        <w:rPr>
          <w:u w:val="single"/>
        </w:rPr>
      </w:pPr>
      <w:r w:rsidRPr="004B0420">
        <w:rPr>
          <w:u w:val="single"/>
        </w:rPr>
        <w:t>Rafforzamento e proroga del credito d’imposta Agricoltura 4.0</w:t>
      </w:r>
    </w:p>
    <w:p w14:paraId="4B999EC2" w14:textId="77777777" w:rsidR="004B0420" w:rsidRPr="004B0420" w:rsidRDefault="004B0420" w:rsidP="004B0420">
      <w:pPr>
        <w:pStyle w:val="Corpodeltesto2"/>
      </w:pPr>
    </w:p>
    <w:p w14:paraId="5F6C5E87" w14:textId="77777777" w:rsidR="004B0420" w:rsidRPr="004B0420" w:rsidRDefault="004B0420" w:rsidP="004B0420">
      <w:pPr>
        <w:pStyle w:val="Corpodeltesto2"/>
      </w:pPr>
      <w:r w:rsidRPr="004B0420">
        <w:t>La bozza del disegno di legge di Bilancio 2027 interviene anche sul credito d’imposta Agricoltura 4.0, istituito dalla legge di Bilancio 2026 (articolo 1, commi da 454 a 459, legge n. 199/2025), su due fronti.</w:t>
      </w:r>
    </w:p>
    <w:p w14:paraId="5B734A04" w14:textId="77777777" w:rsidR="004B0420" w:rsidRPr="004B0420" w:rsidRDefault="004B0420" w:rsidP="004B0420">
      <w:pPr>
        <w:pStyle w:val="Corpodeltesto2"/>
      </w:pPr>
      <w:r w:rsidRPr="004B0420">
        <w:t>In primo luogo, prevede l’incremento dell’attuale dotazione finanziaria, pari a 2,1 milioni di euro per ciascuno degli anni 2026, 2027 e 2028, per 140 milioni di euro.</w:t>
      </w:r>
    </w:p>
    <w:p w14:paraId="70EB67A6" w14:textId="77777777" w:rsidR="004B0420" w:rsidRPr="004B0420" w:rsidRDefault="004B0420" w:rsidP="004B0420">
      <w:pPr>
        <w:pStyle w:val="Corpodeltesto2"/>
      </w:pPr>
      <w:r w:rsidRPr="004B0420">
        <w:lastRenderedPageBreak/>
        <w:t>In secondo luogo, viene prorogata l’operatività della misura, ora fissata al 28 settembre 2028, fino al 2029 (l’esatto nuovo termine finale non è specificato nel comunicato del ministero dell’Agricoltura pubblicato dal Ministero dell’Agricoltura il 28 ottobre 2026).</w:t>
      </w:r>
    </w:p>
    <w:p w14:paraId="11F4303C" w14:textId="77777777" w:rsidR="004B0420" w:rsidRPr="004B0420" w:rsidRDefault="004B0420" w:rsidP="004B0420">
      <w:pPr>
        <w:pStyle w:val="Corpodeltesto2"/>
      </w:pPr>
      <w:r w:rsidRPr="004B0420">
        <w:t>Si ricorda che l’agevolazione spetta alle imprese attive nel settore della produzione primaria di prodotti agricoli e nel settore della pesca e dell'acquacoltura per gli investimenti in beni materiali e immateriali strumentali nuovi, compresi, rispettivamente, negli elenchi di cui agli allegati I IV e V annessi alla legge di Bilancio 2026, effettuati a decorrere dal 1° gennaio 2026.</w:t>
      </w:r>
    </w:p>
    <w:p w14:paraId="5FEB3B0C" w14:textId="77777777" w:rsidR="004B0420" w:rsidRPr="004B0420" w:rsidRDefault="004B0420" w:rsidP="004B0420">
      <w:pPr>
        <w:pStyle w:val="Corpodeltesto2"/>
      </w:pPr>
      <w:r w:rsidRPr="004B0420">
        <w:t>Il credito d’imposta:</w:t>
      </w:r>
    </w:p>
    <w:p w14:paraId="5E451F9D" w14:textId="77777777" w:rsidR="004B0420" w:rsidRPr="004B0420" w:rsidRDefault="004B0420" w:rsidP="004B0420">
      <w:pPr>
        <w:pStyle w:val="Corpodeltesto2"/>
      </w:pPr>
      <w:r w:rsidRPr="004B0420">
        <w:t>- è pari al 40% del costo, nel limite massimo dei costi ammissibili pari a 1 milione di euro. Per gli investimenti effettuati tramite leasing il costo di riferimento sarà quello sostenuto dalla società locatrice;</w:t>
      </w:r>
    </w:p>
    <w:p w14:paraId="1CDAA53A" w14:textId="77777777" w:rsidR="004B0420" w:rsidRPr="004B0420" w:rsidRDefault="004B0420" w:rsidP="004B0420">
      <w:pPr>
        <w:pStyle w:val="Corpodeltesto2"/>
      </w:pPr>
      <w:r w:rsidRPr="004B0420">
        <w:t>- è utilizzabile esclusivamente in compensazione tramite modello F24 e non è soggetto ai limiti annuali solitamente previsti per l’utilizzo dei crediti fiscali di cui all'</w:t>
      </w:r>
    </w:p>
    <w:p w14:paraId="0B0157B9" w14:textId="77777777" w:rsidR="004B0420" w:rsidRPr="004B0420" w:rsidRDefault="004B0420" w:rsidP="004B0420">
      <w:pPr>
        <w:pStyle w:val="Corpodeltesto2"/>
      </w:pPr>
      <w:r w:rsidRPr="004B0420">
        <w:t>articolo 1, comma 53, della legge n. 244/2007, all'articolo 34 della legge n. 388/2000 e all'articolo 31 del D.L. n. 78/2010;</w:t>
      </w:r>
    </w:p>
    <w:p w14:paraId="4D8F09C8" w14:textId="77777777" w:rsidR="004B0420" w:rsidRPr="004B0420" w:rsidRDefault="004B0420" w:rsidP="004B0420">
      <w:pPr>
        <w:pStyle w:val="Corpodeltesto2"/>
      </w:pPr>
      <w:r w:rsidRPr="004B0420">
        <w:t>- non può essere applicato agli investimenti che beneficiano dell’iperammortamento (previsto dai commi da 427 a 436 della legge di Bilancio 2026), del credito di imposta ZES agricoltura e pesca (previsto dai commi da 462 a 465 della legge di Bilancio 2026) nonché del credito di imposta per investimenti in beni materiali 4.0 effettuati, ai sensi dell’articolo 1, comma 446, della legge di Bilancio 2025 (legge n. 207/2024), dal 1° gennaio 2025 al 31 dicembre 2025 o entro il 30 giugno 2026 per il quali entro il 31 dicembre 2025 il relativo ordine risulti accettato dal venditore e risulti pagato, a titolo di acconto, almeno il 20% del costo;</w:t>
      </w:r>
    </w:p>
    <w:p w14:paraId="037712A1" w14:textId="77777777" w:rsidR="004B0420" w:rsidRPr="004B0420" w:rsidRDefault="004B0420" w:rsidP="004B0420">
      <w:pPr>
        <w:pStyle w:val="Corpodeltesto2"/>
      </w:pPr>
      <w:r w:rsidRPr="004B0420">
        <w:t>- è cumulabile con altre agevolazioni che abbiano ad oggetto i medesimi costi, a condizione che tale cumulo non porti al superamento del costo sostenuto.</w:t>
      </w:r>
    </w:p>
    <w:p w14:paraId="0A125D38" w14:textId="77777777" w:rsidR="004B0420" w:rsidRPr="004B0420" w:rsidRDefault="004B0420" w:rsidP="004B0420">
      <w:pPr>
        <w:pStyle w:val="Corpodeltesto2"/>
      </w:pPr>
      <w:r w:rsidRPr="004B0420">
        <w:t>La legge di Bilancio 2026 ha demandato a un decreto interministeriale (MASAF-MIMIT-MEF), che avrebbe dovuto essere emanato entro 60 giorni dall’entrata in vigore della legge, il compito di definire le modalità attuative. Il decreto, a fine del mese di ottobre 2026, non risulta ancora emanato, secondo quanto indicato nella risposta all’interrogazione parlamentare n. 5-05788 resa in Commissione Agricoltura alla Camera il 23 settembre 2026, lo schema è in concertazione avanzata.</w:t>
      </w:r>
    </w:p>
    <w:p w14:paraId="7D8EDFB1" w14:textId="77777777" w:rsidR="004B0420" w:rsidRPr="004B0420" w:rsidRDefault="004B0420" w:rsidP="004B0420">
      <w:pPr>
        <w:pStyle w:val="Corpodeltesto2"/>
      </w:pPr>
    </w:p>
    <w:p w14:paraId="6D288BE6" w14:textId="77777777" w:rsidR="004B0420" w:rsidRPr="004B0420" w:rsidRDefault="004B0420" w:rsidP="004B0420">
      <w:pPr>
        <w:pStyle w:val="Corpodeltesto2"/>
        <w:rPr>
          <w:u w:val="single"/>
        </w:rPr>
      </w:pPr>
      <w:r w:rsidRPr="004B0420">
        <w:rPr>
          <w:u w:val="single"/>
        </w:rPr>
        <w:t>Proroga aliquote 50%-36% dei bonus edilizi.</w:t>
      </w:r>
    </w:p>
    <w:p w14:paraId="478BE779" w14:textId="77777777" w:rsidR="004B0420" w:rsidRPr="004B0420" w:rsidRDefault="004B0420" w:rsidP="004B0420">
      <w:pPr>
        <w:pStyle w:val="Corpodeltesto2"/>
      </w:pPr>
    </w:p>
    <w:p w14:paraId="5D3BDC9B" w14:textId="77777777" w:rsidR="004B0420" w:rsidRPr="004B0420" w:rsidRDefault="004B0420" w:rsidP="004B0420">
      <w:pPr>
        <w:pStyle w:val="Corpodeltesto2"/>
      </w:pPr>
      <w:r w:rsidRPr="004B0420">
        <w:t>Per quanto riguarda i bonus edilizi, vengono confermate anche per il prossimo anno le aliquote di detrazione del 50%-36% per il bonus ristrutturazioni, ecobonus e sismabonus (anche acquisti). Nel 2027, pertanto, non ci sarà nessun taglio delle percentuali agevolative, come invece previsto dalla legge di Bilancio 2025 (</w:t>
      </w:r>
    </w:p>
    <w:p w14:paraId="5C8B035E" w14:textId="77777777" w:rsidR="004B0420" w:rsidRPr="004B0420" w:rsidRDefault="004B0420" w:rsidP="004B0420">
      <w:pPr>
        <w:pStyle w:val="Corpodeltesto2"/>
      </w:pPr>
      <w:r w:rsidRPr="004B0420">
        <w:t>legge n. 207/2024).</w:t>
      </w:r>
    </w:p>
    <w:p w14:paraId="5C0D1DEA" w14:textId="77777777" w:rsidR="004B0420" w:rsidRPr="004B0420" w:rsidRDefault="004B0420" w:rsidP="004B0420">
      <w:pPr>
        <w:pStyle w:val="Corpodeltesto2"/>
      </w:pPr>
      <w:r w:rsidRPr="004B0420">
        <w:t>In particolare, come nel 2026, anche per le spese sostenute dal 1° gennaio 2027 al 31 dicembre 2027, l’aliquota di detrazione sarà pari:</w:t>
      </w:r>
    </w:p>
    <w:p w14:paraId="7E418201" w14:textId="77777777" w:rsidR="004B0420" w:rsidRPr="004B0420" w:rsidRDefault="004B0420" w:rsidP="004B0420">
      <w:pPr>
        <w:pStyle w:val="Corpodeltesto2"/>
      </w:pPr>
      <w:r w:rsidRPr="004B0420">
        <w:t>- al 50%, nel caso in cui le spese siano sostenute dai proprietari o titolari di diritto reale di godimento per interventi sull’unità immobiliare adibita ad abitazione principale;</w:t>
      </w:r>
    </w:p>
    <w:p w14:paraId="32256510" w14:textId="77777777" w:rsidR="004B0420" w:rsidRPr="004B0420" w:rsidRDefault="004B0420" w:rsidP="004B0420">
      <w:pPr>
        <w:pStyle w:val="Corpodeltesto2"/>
      </w:pPr>
      <w:r w:rsidRPr="004B0420">
        <w:lastRenderedPageBreak/>
        <w:t>- al 36%, in tutti gli altri casi.</w:t>
      </w:r>
    </w:p>
    <w:p w14:paraId="5FA2E4A9" w14:textId="77777777" w:rsidR="004B0420" w:rsidRPr="004B0420" w:rsidRDefault="004B0420" w:rsidP="004B0420">
      <w:pPr>
        <w:pStyle w:val="Corpodeltesto2"/>
      </w:pPr>
      <w:r w:rsidRPr="004B0420">
        <w:t>Anche nel 2027:</w:t>
      </w:r>
    </w:p>
    <w:p w14:paraId="072B1D09" w14:textId="77777777" w:rsidR="004B0420" w:rsidRPr="004B0420" w:rsidRDefault="004B0420" w:rsidP="004B0420">
      <w:pPr>
        <w:pStyle w:val="Corpodeltesto2"/>
      </w:pPr>
      <w:r w:rsidRPr="004B0420">
        <w:t>- per il bonus ristrutturazioni e il sismabonus (anche acquisti), il limite di spesa sarà pari a 96.000 euro, senza nessuna distinzione tra abitazione principale e abitazione non principale;</w:t>
      </w:r>
    </w:p>
    <w:p w14:paraId="1C059C7E" w14:textId="77777777" w:rsidR="004B0420" w:rsidRPr="004B0420" w:rsidRDefault="004B0420" w:rsidP="004B0420">
      <w:pPr>
        <w:pStyle w:val="Corpodeltesto2"/>
      </w:pPr>
      <w:r w:rsidRPr="004B0420">
        <w:t>- per l’ecobonus, resteranno invariati i limiti di detrazione spettante.</w:t>
      </w:r>
    </w:p>
    <w:p w14:paraId="1E51466C" w14:textId="77777777" w:rsidR="004B0420" w:rsidRPr="004B0420" w:rsidRDefault="004B0420" w:rsidP="004B0420">
      <w:pPr>
        <w:pStyle w:val="Corpodeltesto2"/>
      </w:pPr>
    </w:p>
    <w:p w14:paraId="2F075D00" w14:textId="77777777" w:rsidR="004B0420" w:rsidRPr="004B0420" w:rsidRDefault="004B0420" w:rsidP="004B0420">
      <w:pPr>
        <w:pStyle w:val="Corpodeltesto2"/>
        <w:rPr>
          <w:u w:val="single"/>
        </w:rPr>
      </w:pPr>
      <w:r w:rsidRPr="004B0420">
        <w:rPr>
          <w:u w:val="single"/>
        </w:rPr>
        <w:t>Proroga del bonus mobili</w:t>
      </w:r>
    </w:p>
    <w:p w14:paraId="48879294" w14:textId="77777777" w:rsidR="004B0420" w:rsidRPr="004B0420" w:rsidRDefault="004B0420" w:rsidP="004B0420">
      <w:pPr>
        <w:pStyle w:val="Corpodeltesto2"/>
      </w:pPr>
    </w:p>
    <w:p w14:paraId="140F1FD8" w14:textId="77777777" w:rsidR="004B0420" w:rsidRPr="004B0420" w:rsidRDefault="004B0420" w:rsidP="004B0420">
      <w:pPr>
        <w:pStyle w:val="Corpodeltesto2"/>
      </w:pPr>
      <w:r w:rsidRPr="004B0420">
        <w:t>Prevista anche la proroga fino al 31 dicembre 2027 del bonus mobili, la detrazione IRPEF al 50% per l’acquisto di mobili nuovi e grandi elettrodomestici da destinare all’unità abitativa oggetto di interventi di ristrutturazione edilizia.</w:t>
      </w:r>
    </w:p>
    <w:p w14:paraId="23456069" w14:textId="77777777" w:rsidR="004B0420" w:rsidRPr="004B0420" w:rsidRDefault="004B0420" w:rsidP="004B0420">
      <w:pPr>
        <w:pStyle w:val="Corpodeltesto2"/>
      </w:pPr>
      <w:r w:rsidRPr="004B0420">
        <w:t>Resta confermato a 5.000 euro il massimale di spesa su cui calcolare la detrazione.</w:t>
      </w:r>
    </w:p>
    <w:p w14:paraId="379065CD" w14:textId="77777777" w:rsidR="004B0420" w:rsidRPr="004B0420" w:rsidRDefault="004B0420" w:rsidP="004B0420">
      <w:pPr>
        <w:pStyle w:val="Corpodeltesto2"/>
      </w:pPr>
      <w:r w:rsidRPr="004B0420">
        <w:t>Nel 2027, il bonus spetterà solo se collegato ad interventi di ristrutturazione iniziati nel 2026.</w:t>
      </w:r>
    </w:p>
    <w:p w14:paraId="399E3227" w14:textId="77777777" w:rsidR="004B0420" w:rsidRPr="004B0420" w:rsidRDefault="004B0420" w:rsidP="004B0420">
      <w:pPr>
        <w:pStyle w:val="Corpodeltesto2"/>
      </w:pPr>
      <w:r w:rsidRPr="004B0420">
        <w:t>Per gli acquisti di mobili e grandi elettrodomestici effettuati nel 2027 e riferiti a lavori realizzati nel 2026, o iniziati nel 2026 e proseguiti nel 2027, la detrazione dovrà essere calcolata su un importo complessivo non superiore a 5.000 euro, al netto delle spese sostenute nel 2026 per le quali si è già fruito dell’agevolazione.</w:t>
      </w:r>
    </w:p>
    <w:p w14:paraId="04F6E35B" w14:textId="77777777" w:rsidR="004B0420" w:rsidRPr="004B0420" w:rsidRDefault="004B0420" w:rsidP="004B0420">
      <w:pPr>
        <w:pStyle w:val="Corpodeltesto2"/>
      </w:pPr>
    </w:p>
    <w:p w14:paraId="0E7CBDBA" w14:textId="77777777" w:rsidR="004B0420" w:rsidRPr="004B0420" w:rsidRDefault="004B0420" w:rsidP="004B0420">
      <w:pPr>
        <w:pStyle w:val="Corpodeltesto2"/>
        <w:rPr>
          <w:u w:val="single"/>
        </w:rPr>
      </w:pPr>
      <w:r w:rsidRPr="004B0420">
        <w:rPr>
          <w:u w:val="single"/>
        </w:rPr>
        <w:t>Nuovo credito di imposta per il software in cloud</w:t>
      </w:r>
    </w:p>
    <w:p w14:paraId="62874DBA" w14:textId="77777777" w:rsidR="004B0420" w:rsidRPr="004B0420" w:rsidRDefault="004B0420" w:rsidP="004B0420">
      <w:pPr>
        <w:pStyle w:val="Corpodeltesto2"/>
      </w:pPr>
    </w:p>
    <w:p w14:paraId="7BBDCB82" w14:textId="77777777" w:rsidR="004B0420" w:rsidRPr="004B0420" w:rsidRDefault="004B0420" w:rsidP="004B0420">
      <w:pPr>
        <w:pStyle w:val="Corpodeltesto2"/>
      </w:pPr>
      <w:r w:rsidRPr="004B0420">
        <w:t>Non solo proroghe e rifinanziamenti. Con la bozza del disegno di legge di Bilancio 2027 arriva anche il nuovo credito di imposta per il software in cloud.</w:t>
      </w:r>
    </w:p>
    <w:p w14:paraId="3B352C7E" w14:textId="77777777" w:rsidR="004B0420" w:rsidRPr="004B0420" w:rsidRDefault="004B0420" w:rsidP="004B0420">
      <w:pPr>
        <w:pStyle w:val="Corpodeltesto2"/>
      </w:pPr>
      <w:r w:rsidRPr="004B0420">
        <w:t>Al momento, tuttavia, non si conoscono i dettagli della misura agevolativa, come i beni agevolabili, l’aliquota del credito d'imposta, l’importo massimo di spesa ammessa.</w:t>
      </w:r>
    </w:p>
    <w:p w14:paraId="01F8B7C4" w14:textId="77777777" w:rsidR="004B0420" w:rsidRPr="004B0420" w:rsidRDefault="004B0420" w:rsidP="004B0420">
      <w:pPr>
        <w:pStyle w:val="Corpodeltesto2"/>
      </w:pPr>
      <w:r w:rsidRPr="004B0420">
        <w:t>La misura è diretta a compensare l’esclusione dall’iperammortamento dei software in abbonamento.</w:t>
      </w:r>
    </w:p>
    <w:p w14:paraId="3DAE9373" w14:textId="77777777" w:rsidR="004B0420" w:rsidRPr="004B0420" w:rsidRDefault="004B0420" w:rsidP="004B0420">
      <w:pPr>
        <w:pStyle w:val="Corpodeltesto2"/>
      </w:pPr>
      <w:r w:rsidRPr="004B0420">
        <w:t>Nell'ambito dell’iperammortamento rientrano infatti i soli beni immateriali e i software elencati nell'Allegato V della legge di Bilancio 2026 (legge n. 199/2025) acquistati o in licenza, a tempo determinato o indeterminato, capitalizzabili a bilancio.</w:t>
      </w:r>
    </w:p>
    <w:p w14:paraId="6D5B73ED" w14:textId="77777777" w:rsidR="004B0420" w:rsidRPr="004B0420" w:rsidRDefault="004B0420" w:rsidP="004B0420">
      <w:pPr>
        <w:pStyle w:val="Corpodeltesto2"/>
      </w:pPr>
    </w:p>
    <w:p w14:paraId="687B3113" w14:textId="77777777" w:rsidR="004B0420" w:rsidRPr="004B0420" w:rsidRDefault="004B0420" w:rsidP="004B0420">
      <w:pPr>
        <w:pStyle w:val="Corpodeltesto2"/>
        <w:rPr>
          <w:u w:val="single"/>
        </w:rPr>
      </w:pPr>
      <w:r w:rsidRPr="004B0420">
        <w:rPr>
          <w:u w:val="single"/>
        </w:rPr>
        <w:t>Nessuna proroga per l’iperammortamento</w:t>
      </w:r>
    </w:p>
    <w:p w14:paraId="591687FB" w14:textId="77777777" w:rsidR="004B0420" w:rsidRPr="004B0420" w:rsidRDefault="004B0420" w:rsidP="004B0420">
      <w:pPr>
        <w:pStyle w:val="Corpodeltesto2"/>
      </w:pPr>
    </w:p>
    <w:p w14:paraId="506B9F78" w14:textId="77777777" w:rsidR="004B0420" w:rsidRPr="004B0420" w:rsidRDefault="004B0420" w:rsidP="004B0420">
      <w:pPr>
        <w:pStyle w:val="Corpodeltesto2"/>
      </w:pPr>
      <w:r w:rsidRPr="004B0420">
        <w:t>Nella bozza del disegno di legge di Bilancio 2027, al momento, non è entrata la proroga dell’iperammortamento annunciata dal ministro delle Imprese e del Made in Italy.</w:t>
      </w:r>
    </w:p>
    <w:p w14:paraId="4BD19F07" w14:textId="77777777" w:rsidR="004B0420" w:rsidRPr="004B0420" w:rsidRDefault="004B0420" w:rsidP="004B0420">
      <w:pPr>
        <w:pStyle w:val="Corpodeltesto2"/>
      </w:pPr>
      <w:r w:rsidRPr="004B0420">
        <w:t>Stante all’attuale disciplina (articolo 1, commi 427, modificato dall’articolo 7 del D.L. n. 38/2026, e 429, della legge n. 199/2025), quindi l’agevolazione è riconosciuta in relazione agli investimenti, effettuati dal 1° gennaio 2026 al 30 settembre 2028, in:</w:t>
      </w:r>
    </w:p>
    <w:p w14:paraId="43CEA09E" w14:textId="77777777" w:rsidR="004B0420" w:rsidRPr="004B0420" w:rsidRDefault="004B0420" w:rsidP="004B0420">
      <w:pPr>
        <w:pStyle w:val="Corpodeltesto2"/>
      </w:pPr>
      <w:r w:rsidRPr="004B0420">
        <w:t>a) beni materiali e immateriali strumentali nuovi compresi, rispettivamente, negli elenchi di cui agli allegati IV e V annessi alla legge di Bilancio 2026, interconnessi al sistema aziendale di gestione della produzione o alla rete di fornitura;</w:t>
      </w:r>
    </w:p>
    <w:p w14:paraId="68F49567" w14:textId="77777777" w:rsidR="004B0420" w:rsidRPr="004B0420" w:rsidRDefault="004B0420" w:rsidP="004B0420">
      <w:pPr>
        <w:pStyle w:val="Corpodeltesto2"/>
      </w:pPr>
      <w:r w:rsidRPr="004B0420">
        <w:t>b) in beni materiali nuovi strumentali all'esercizio d'impresa finalizzati all'autoproduzione di energia da fonti rinnovabili destinata all'autoconsumo anche a distanza ai sensi dell'</w:t>
      </w:r>
    </w:p>
    <w:p w14:paraId="0A147F9D" w14:textId="77777777" w:rsidR="004B0420" w:rsidRPr="004B0420" w:rsidRDefault="004B0420" w:rsidP="004B0420">
      <w:pPr>
        <w:pStyle w:val="Corpodeltesto2"/>
      </w:pPr>
      <w:r w:rsidRPr="004B0420">
        <w:lastRenderedPageBreak/>
        <w:t>articolo 30, comma 1, lettera a), numero 2), del D.lgs. n. 199/2021, compresi gli impianti per lo stoccaggio dell'energia prodotta. Con riferimento all'autoproduzione e all'autoconsumo di energia da fonte solare, sono considerati ammissibili esclusivamente gli impianti con moduli fotovoltaici iscritti nel registro ENEA alla lettera b) o alla lettera c), ossia:</w:t>
      </w:r>
    </w:p>
    <w:p w14:paraId="4F7072CA" w14:textId="77777777" w:rsidR="004B0420" w:rsidRPr="004B0420" w:rsidRDefault="004B0420" w:rsidP="004B0420">
      <w:pPr>
        <w:pStyle w:val="Corpodeltesto2"/>
      </w:pPr>
      <w:r w:rsidRPr="004B0420">
        <w:t>- moduli fotovoltaici con celle, gli uni e le altre prodotti negli Stati membri dell'Unione europea, con un'efficienza a livello di cella almeno pari al 23,5% [lettera b) registro ENEA];</w:t>
      </w:r>
    </w:p>
    <w:p w14:paraId="27F09789" w14:textId="77777777" w:rsidR="004B0420" w:rsidRPr="004B0420" w:rsidRDefault="004B0420" w:rsidP="004B0420">
      <w:pPr>
        <w:pStyle w:val="Corpodeltesto2"/>
      </w:pPr>
      <w:r w:rsidRPr="004B0420">
        <w:t>- moduli prodotti negli Stati membri dell'Unione europea composti da celle bifacciali ad eterogiunzione di silicio o tandem prodotte nell'Unione europea con un'efficienza di cella almeno pari al 24% [lettera c) registro ENEA].</w:t>
      </w:r>
    </w:p>
    <w:p w14:paraId="53F228AD" w14:textId="77777777" w:rsidR="004B0420" w:rsidRPr="004B0420" w:rsidRDefault="004B0420" w:rsidP="004B0420">
      <w:pPr>
        <w:pStyle w:val="Corpodeltesto2"/>
      </w:pPr>
      <w:r w:rsidRPr="004B0420">
        <w:t>Per gli impianti di produzione di energia elettrica destinata all’autoconsumo, la potenza installata non può eccedere il 105% del fabbisogno energetico della struttura produttiva, calcolato sui consumi medi annui dell’esercizio precedente. È il vincolo che nella pratica ridimensiona i progetti fotovoltaici pensati per vendere il surplus in rete.</w:t>
      </w:r>
    </w:p>
    <w:p w14:paraId="0C0F60BF" w14:textId="77777777" w:rsidR="004B0420" w:rsidRPr="004B0420" w:rsidRDefault="004B0420" w:rsidP="004B0420">
      <w:pPr>
        <w:pStyle w:val="Corpodeltesto2"/>
      </w:pPr>
      <w:r w:rsidRPr="004B0420">
        <w:t>Come specificato dall’articolo 4, comma 2, del decreto attuativo 7 maggio 2026, il beneficio è determinato sulla base delle spese agevolabili per gli investimenti, completati in ciascuna annualità, nella misura del:</w:t>
      </w:r>
    </w:p>
    <w:p w14:paraId="44FF4871" w14:textId="77777777" w:rsidR="004B0420" w:rsidRPr="004B0420" w:rsidRDefault="004B0420" w:rsidP="004B0420">
      <w:pPr>
        <w:pStyle w:val="Corpodeltesto2"/>
      </w:pPr>
      <w:r w:rsidRPr="004B0420">
        <w:t>- 180% per la quota degli investimenti fino a 2,5 milioni di euro;</w:t>
      </w:r>
    </w:p>
    <w:p w14:paraId="108AF4B7" w14:textId="77777777" w:rsidR="004B0420" w:rsidRPr="004B0420" w:rsidRDefault="004B0420" w:rsidP="004B0420">
      <w:pPr>
        <w:pStyle w:val="Corpodeltesto2"/>
      </w:pPr>
      <w:r w:rsidRPr="004B0420">
        <w:t>- 100% per la quota degli investimenti oltre 2,5 milioni di euro e fino a 10 milioni di euro;</w:t>
      </w:r>
    </w:p>
    <w:p w14:paraId="3DDAC5E8" w14:textId="77777777" w:rsidR="004B0420" w:rsidRPr="004B0420" w:rsidRDefault="004B0420" w:rsidP="004B0420">
      <w:pPr>
        <w:pStyle w:val="Corpodeltesto2"/>
      </w:pPr>
      <w:r w:rsidRPr="004B0420">
        <w:t>- 50% per la quota degli investimenti oltre 10 milioni di euro e fino a 20 milioni di euro.</w:t>
      </w:r>
    </w:p>
    <w:p w14:paraId="0CE71C51" w14:textId="77777777" w:rsidR="004B0420" w:rsidRPr="004B0420" w:rsidRDefault="004B0420" w:rsidP="004B0420">
      <w:pPr>
        <w:pStyle w:val="Corpodeltesto2"/>
      </w:pPr>
      <w:r w:rsidRPr="004B0420">
        <w:t>Per gli investimenti eccedenti il limite di 20 milioni di euro non è prevista alcuna maggiorazione della deducibilità delle quote di ammortamento.</w:t>
      </w:r>
    </w:p>
    <w:p w14:paraId="19360A66" w14:textId="77777777" w:rsidR="004B0420" w:rsidRPr="004B0420" w:rsidRDefault="004B0420" w:rsidP="004B0420">
      <w:pPr>
        <w:pStyle w:val="Corpodeltesto2"/>
      </w:pPr>
      <w:r w:rsidRPr="004B0420">
        <w:t>Secondo quanto previsto dal comma 434 della legge di Bilancio 2026 (</w:t>
      </w:r>
    </w:p>
    <w:p w14:paraId="49399CA8" w14:textId="77777777" w:rsidR="004B0420" w:rsidRPr="004B0420" w:rsidRDefault="004B0420" w:rsidP="004B0420">
      <w:pPr>
        <w:pStyle w:val="Corpodeltesto2"/>
      </w:pPr>
      <w:r w:rsidRPr="004B0420">
        <w:t>legge n. 199/2025), la determinazione dell’acconto dovuto per il periodo d'imposta in corso al 31 dicembre 2026 dovrà essere effettuata considerando quale imposta del periodo precedente quella che si sarebbe determinata in assenza della maggiorazione.</w:t>
      </w:r>
    </w:p>
    <w:p w14:paraId="0AFE517C" w14:textId="423BBC50" w:rsidR="00284C59" w:rsidRPr="004B0420" w:rsidRDefault="004B0420" w:rsidP="004B0420">
      <w:pPr>
        <w:pStyle w:val="Corpodeltesto2"/>
      </w:pPr>
      <w:r w:rsidRPr="004B0420">
        <w:t>Ai fini dell’accesso all’iperammortamento, è necessario trasmettere al Gestore dei Servizi Energetici (GSE), apposite comunicazioni e certificazioni concernenti gli investimenti agevolabili.</w:t>
      </w:r>
    </w:p>
    <w:sectPr w:rsidR="00284C59" w:rsidRPr="004B0420"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E2F4" w14:textId="77777777" w:rsidR="005F75F5" w:rsidRDefault="005F75F5" w:rsidP="00A32F6D">
      <w:r>
        <w:separator/>
      </w:r>
    </w:p>
  </w:endnote>
  <w:endnote w:type="continuationSeparator" w:id="0">
    <w:p w14:paraId="3D99112E" w14:textId="77777777" w:rsidR="005F75F5" w:rsidRDefault="005F75F5"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676A" w14:textId="77777777" w:rsidR="005F75F5" w:rsidRDefault="005F75F5" w:rsidP="00A32F6D">
      <w:r>
        <w:separator/>
      </w:r>
    </w:p>
  </w:footnote>
  <w:footnote w:type="continuationSeparator" w:id="0">
    <w:p w14:paraId="03C513AC" w14:textId="77777777" w:rsidR="005F75F5" w:rsidRDefault="005F75F5"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8515D2"/>
    <w:multiLevelType w:val="hybridMultilevel"/>
    <w:tmpl w:val="9D2E8788"/>
    <w:lvl w:ilvl="0" w:tplc="8FDA261E">
      <w:start w:val="3"/>
      <w:numFmt w:val="bullet"/>
      <w:lvlText w:val="-"/>
      <w:lvlJc w:val="left"/>
      <w:pPr>
        <w:ind w:left="720" w:hanging="360"/>
      </w:pPr>
      <w:rPr>
        <w:rFonts w:ascii="Century" w:eastAsia="Times New Roman" w:hAnsi="Century"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C172A1A"/>
    <w:multiLevelType w:val="hybridMultilevel"/>
    <w:tmpl w:val="C33698A0"/>
    <w:lvl w:ilvl="0" w:tplc="2A96393A">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4" w15:restartNumberingAfterBreak="0">
    <w:nsid w:val="319C7916"/>
    <w:multiLevelType w:val="hybridMultilevel"/>
    <w:tmpl w:val="EF949D24"/>
    <w:lvl w:ilvl="0" w:tplc="E3303A1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9"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8" w15:restartNumberingAfterBreak="0">
    <w:nsid w:val="707762D8"/>
    <w:multiLevelType w:val="hybridMultilevel"/>
    <w:tmpl w:val="A73E8B44"/>
    <w:lvl w:ilvl="0" w:tplc="D90E727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0"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3"/>
  </w:num>
  <w:num w:numId="2" w16cid:durableId="662272964">
    <w:abstractNumId w:val="24"/>
  </w:num>
  <w:num w:numId="3" w16cid:durableId="353776043">
    <w:abstractNumId w:val="29"/>
  </w:num>
  <w:num w:numId="4" w16cid:durableId="1616669055">
    <w:abstractNumId w:val="10"/>
  </w:num>
  <w:num w:numId="5" w16cid:durableId="1844130009">
    <w:abstractNumId w:val="8"/>
  </w:num>
  <w:num w:numId="6" w16cid:durableId="2116631285">
    <w:abstractNumId w:val="20"/>
  </w:num>
  <w:num w:numId="7" w16cid:durableId="1462921736">
    <w:abstractNumId w:val="30"/>
  </w:num>
  <w:num w:numId="8" w16cid:durableId="95254443">
    <w:abstractNumId w:val="17"/>
  </w:num>
  <w:num w:numId="9" w16cid:durableId="272784366">
    <w:abstractNumId w:val="22"/>
  </w:num>
  <w:num w:numId="10" w16cid:durableId="551423960">
    <w:abstractNumId w:val="11"/>
  </w:num>
  <w:num w:numId="11" w16cid:durableId="1853564208">
    <w:abstractNumId w:val="1"/>
  </w:num>
  <w:num w:numId="12" w16cid:durableId="800532907">
    <w:abstractNumId w:val="3"/>
  </w:num>
  <w:num w:numId="13" w16cid:durableId="463816025">
    <w:abstractNumId w:val="25"/>
  </w:num>
  <w:num w:numId="14" w16cid:durableId="2102797573">
    <w:abstractNumId w:val="27"/>
  </w:num>
  <w:num w:numId="15" w16cid:durableId="1331981394">
    <w:abstractNumId w:val="31"/>
  </w:num>
  <w:num w:numId="16" w16cid:durableId="261425994">
    <w:abstractNumId w:val="5"/>
  </w:num>
  <w:num w:numId="17" w16cid:durableId="687219582">
    <w:abstractNumId w:val="16"/>
  </w:num>
  <w:num w:numId="18" w16cid:durableId="425343916">
    <w:abstractNumId w:val="26"/>
  </w:num>
  <w:num w:numId="19" w16cid:durableId="521167879">
    <w:abstractNumId w:val="2"/>
  </w:num>
  <w:num w:numId="20" w16cid:durableId="73018300">
    <w:abstractNumId w:val="21"/>
  </w:num>
  <w:num w:numId="21" w16cid:durableId="1147672760">
    <w:abstractNumId w:val="23"/>
  </w:num>
  <w:num w:numId="22" w16cid:durableId="616722941">
    <w:abstractNumId w:val="6"/>
  </w:num>
  <w:num w:numId="23" w16cid:durableId="1197768387">
    <w:abstractNumId w:val="15"/>
  </w:num>
  <w:num w:numId="24" w16cid:durableId="329332146">
    <w:abstractNumId w:val="7"/>
  </w:num>
  <w:num w:numId="25" w16cid:durableId="833956791">
    <w:abstractNumId w:val="18"/>
  </w:num>
  <w:num w:numId="26" w16cid:durableId="862135947">
    <w:abstractNumId w:val="0"/>
  </w:num>
  <w:num w:numId="27" w16cid:durableId="979113401">
    <w:abstractNumId w:val="4"/>
  </w:num>
  <w:num w:numId="28" w16cid:durableId="1117525001">
    <w:abstractNumId w:val="19"/>
  </w:num>
  <w:num w:numId="29" w16cid:durableId="1421295469">
    <w:abstractNumId w:val="28"/>
  </w:num>
  <w:num w:numId="30" w16cid:durableId="1835878442">
    <w:abstractNumId w:val="9"/>
  </w:num>
  <w:num w:numId="31" w16cid:durableId="835345990">
    <w:abstractNumId w:val="14"/>
  </w:num>
  <w:num w:numId="32" w16cid:durableId="15230875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0A2660"/>
    <w:rsid w:val="00205F1F"/>
    <w:rsid w:val="00265818"/>
    <w:rsid w:val="00280D4E"/>
    <w:rsid w:val="00284C59"/>
    <w:rsid w:val="002B2E80"/>
    <w:rsid w:val="002B4DD3"/>
    <w:rsid w:val="003363A3"/>
    <w:rsid w:val="003556F9"/>
    <w:rsid w:val="0037360F"/>
    <w:rsid w:val="00394758"/>
    <w:rsid w:val="003A6EA7"/>
    <w:rsid w:val="003D6BED"/>
    <w:rsid w:val="00462257"/>
    <w:rsid w:val="004B0420"/>
    <w:rsid w:val="00503BB1"/>
    <w:rsid w:val="00534569"/>
    <w:rsid w:val="0054469D"/>
    <w:rsid w:val="005D1430"/>
    <w:rsid w:val="005F75F5"/>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716B3"/>
    <w:rsid w:val="009C4667"/>
    <w:rsid w:val="00A250B0"/>
    <w:rsid w:val="00A32F6D"/>
    <w:rsid w:val="00A7742F"/>
    <w:rsid w:val="00AC6259"/>
    <w:rsid w:val="00B47718"/>
    <w:rsid w:val="00B827D3"/>
    <w:rsid w:val="00B93C06"/>
    <w:rsid w:val="00BA3538"/>
    <w:rsid w:val="00BB12F6"/>
    <w:rsid w:val="00C46AF2"/>
    <w:rsid w:val="00CB1497"/>
    <w:rsid w:val="00CC35B9"/>
    <w:rsid w:val="00D25E24"/>
    <w:rsid w:val="00D37BA0"/>
    <w:rsid w:val="00D620A4"/>
    <w:rsid w:val="00D81B8C"/>
    <w:rsid w:val="00DF5BE5"/>
    <w:rsid w:val="00DF6D65"/>
    <w:rsid w:val="00E2323C"/>
    <w:rsid w:val="00E45CD4"/>
    <w:rsid w:val="00E803BA"/>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2055</Words>
  <Characters>11717</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37</cp:revision>
  <cp:lastPrinted>2018-01-16T09:21:00Z</cp:lastPrinted>
  <dcterms:created xsi:type="dcterms:W3CDTF">2017-01-17T14:20:00Z</dcterms:created>
  <dcterms:modified xsi:type="dcterms:W3CDTF">2026-11-06T08:32:00Z</dcterms:modified>
</cp:coreProperties>
</file>