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0E44A01A"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 xml:space="preserve">n. </w:t>
      </w:r>
      <w:r w:rsidR="003363A3">
        <w:rPr>
          <w:rFonts w:ascii="Century" w:hAnsi="Century"/>
          <w:b/>
          <w:bCs/>
          <w:i/>
          <w:iCs/>
        </w:rPr>
        <w:t>1</w:t>
      </w:r>
      <w:r w:rsidR="004A2919">
        <w:rPr>
          <w:rFonts w:ascii="Century" w:hAnsi="Century"/>
          <w:b/>
          <w:bCs/>
          <w:i/>
          <w:iCs/>
        </w:rPr>
        <w:t>7</w:t>
      </w:r>
      <w:r w:rsidR="006A41A2">
        <w:rPr>
          <w:rFonts w:ascii="Century" w:hAnsi="Century"/>
          <w:b/>
          <w:bCs/>
          <w:i/>
          <w:iCs/>
        </w:rPr>
        <w:t xml:space="preserve"> </w:t>
      </w:r>
      <w:r>
        <w:rPr>
          <w:rFonts w:ascii="Century" w:hAnsi="Century"/>
          <w:b/>
          <w:bCs/>
          <w:i/>
          <w:iCs/>
        </w:rPr>
        <w:t xml:space="preserve">del </w:t>
      </w:r>
      <w:r w:rsidR="004A2919">
        <w:rPr>
          <w:rFonts w:ascii="Century" w:hAnsi="Century"/>
          <w:b/>
          <w:bCs/>
          <w:i/>
          <w:iCs/>
        </w:rPr>
        <w:t>06.11.2026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6DB947A6" w14:textId="18F28C33" w:rsidR="004A2919" w:rsidRDefault="004A2919" w:rsidP="004A2919">
      <w:pPr>
        <w:pStyle w:val="Corpodeltesto2"/>
        <w:numPr>
          <w:ilvl w:val="0"/>
          <w:numId w:val="33"/>
        </w:numPr>
        <w:rPr>
          <w:u w:val="single"/>
        </w:rPr>
      </w:pPr>
      <w:r w:rsidRPr="004A2919">
        <w:rPr>
          <w:u w:val="single"/>
        </w:rPr>
        <w:t>Legge di Bilancio 2027: rivalutazione immobili</w:t>
      </w:r>
    </w:p>
    <w:p w14:paraId="3D2862E5" w14:textId="77777777" w:rsidR="004A2919" w:rsidRDefault="004A2919" w:rsidP="004A2919">
      <w:pPr>
        <w:pStyle w:val="Corpodeltesto2"/>
        <w:rPr>
          <w:u w:val="single"/>
        </w:rPr>
      </w:pPr>
    </w:p>
    <w:p w14:paraId="12E425A1" w14:textId="77777777" w:rsidR="0014705F" w:rsidRPr="0014705F" w:rsidRDefault="0014705F" w:rsidP="0014705F">
      <w:pPr>
        <w:pStyle w:val="Corpodeltesto2"/>
      </w:pPr>
      <w:r w:rsidRPr="0014705F">
        <w:t xml:space="preserve">Il disegno di legge che ha definito la </w:t>
      </w:r>
      <w:r w:rsidRPr="0014705F">
        <w:rPr>
          <w:u w:val="single"/>
        </w:rPr>
        <w:t>Legge di bilancio 2027</w:t>
      </w:r>
      <w:r w:rsidRPr="0014705F">
        <w:t xml:space="preserve"> (che deve però essere ancora approvata dal Parlamento, ripropone la disciplina sulla rivalutazione degli </w:t>
      </w:r>
      <w:r w:rsidRPr="0014705F">
        <w:rPr>
          <w:u w:val="single"/>
        </w:rPr>
        <w:t>immobili</w:t>
      </w:r>
      <w:r w:rsidRPr="0014705F">
        <w:t xml:space="preserve"> delle imprese con un testo normativo che riprende quasi integralmente quello delle rivalutazioni effettuate dopo il 2000.</w:t>
      </w:r>
    </w:p>
    <w:p w14:paraId="55845C91" w14:textId="77777777" w:rsidR="0014705F" w:rsidRPr="0014705F" w:rsidRDefault="0014705F" w:rsidP="0014705F">
      <w:pPr>
        <w:pStyle w:val="Corpodeltesto2"/>
      </w:pPr>
    </w:p>
    <w:p w14:paraId="51E000AA" w14:textId="77777777" w:rsidR="0014705F" w:rsidRPr="0014705F" w:rsidRDefault="0014705F" w:rsidP="0014705F">
      <w:pPr>
        <w:pStyle w:val="Corpodeltesto2"/>
      </w:pPr>
      <w:r w:rsidRPr="0014705F">
        <w:t>Si prevede, infatti, l’inserimento nel Testo unico delle imposte sui redditi (</w:t>
      </w:r>
      <w:proofErr w:type="spellStart"/>
      <w:r w:rsidRPr="0014705F">
        <w:t>DLgs</w:t>
      </w:r>
      <w:proofErr w:type="spellEnd"/>
      <w:r w:rsidRPr="0014705F">
        <w:t xml:space="preserve">. 117/2026) dell’art. 364-ter, secondo il quale le società di capitali e gli enti commerciali residenti, le snc, le sas ed equiparate possono rivalutare i beni immobili, </w:t>
      </w:r>
      <w:r w:rsidRPr="0014705F">
        <w:rPr>
          <w:u w:val="single"/>
        </w:rPr>
        <w:t>a esclusione delle aree fabbricabili</w:t>
      </w:r>
      <w:r w:rsidRPr="0014705F">
        <w:t xml:space="preserve"> e </w:t>
      </w:r>
      <w:r w:rsidRPr="0014705F">
        <w:rPr>
          <w:u w:val="single"/>
        </w:rPr>
        <w:t>degli immobili alla cui produzione o al cui scambio è diretta l’attività di impresa</w:t>
      </w:r>
      <w:r w:rsidRPr="0014705F">
        <w:t>, risultanti dal bilancio in corso al 31 dicembre 2025.</w:t>
      </w:r>
    </w:p>
    <w:p w14:paraId="1986595E" w14:textId="77777777" w:rsidR="0014705F" w:rsidRPr="0014705F" w:rsidRDefault="0014705F" w:rsidP="0014705F">
      <w:pPr>
        <w:pStyle w:val="Corpodeltesto2"/>
      </w:pPr>
    </w:p>
    <w:p w14:paraId="521F3C4C" w14:textId="77777777" w:rsidR="0014705F" w:rsidRPr="0014705F" w:rsidRDefault="0014705F" w:rsidP="0014705F">
      <w:pPr>
        <w:pStyle w:val="Corpodeltesto2"/>
      </w:pPr>
      <w:r w:rsidRPr="0014705F">
        <w:t xml:space="preserve">La rivalutazione deve essere eseguita nel bilancio o rendiconto dell’esercizio successivo (ossia </w:t>
      </w:r>
      <w:r w:rsidRPr="0014705F">
        <w:rPr>
          <w:u w:val="single"/>
        </w:rPr>
        <w:t xml:space="preserve">quello in corso al 31 dicembre 2026 </w:t>
      </w:r>
      <w:r w:rsidRPr="0014705F">
        <w:t>per i soggetti “solari”) e:</w:t>
      </w:r>
    </w:p>
    <w:p w14:paraId="1358FE96" w14:textId="77777777" w:rsidR="0014705F" w:rsidRPr="0014705F" w:rsidRDefault="0014705F" w:rsidP="0014705F">
      <w:pPr>
        <w:pStyle w:val="Corpodeltesto2"/>
      </w:pPr>
      <w:r w:rsidRPr="0014705F">
        <w:t xml:space="preserve">- può adottarsi </w:t>
      </w:r>
      <w:r w:rsidRPr="0014705F">
        <w:rPr>
          <w:u w:val="single"/>
        </w:rPr>
        <w:t>distintamente per ciascun bene</w:t>
      </w:r>
      <w:r w:rsidRPr="0014705F">
        <w:t>;</w:t>
      </w:r>
    </w:p>
    <w:p w14:paraId="582B8533" w14:textId="77777777" w:rsidR="0014705F" w:rsidRPr="0014705F" w:rsidRDefault="0014705F" w:rsidP="0014705F">
      <w:pPr>
        <w:pStyle w:val="Corpodeltesto2"/>
      </w:pPr>
      <w:r w:rsidRPr="0014705F">
        <w:t xml:space="preserve">- deve essere annotata nel relativo inventario e nella </w:t>
      </w:r>
      <w:r w:rsidRPr="0014705F">
        <w:rPr>
          <w:u w:val="single"/>
        </w:rPr>
        <w:t>nota integrativa</w:t>
      </w:r>
      <w:r w:rsidRPr="0014705F">
        <w:t>.</w:t>
      </w:r>
    </w:p>
    <w:p w14:paraId="18A1E506" w14:textId="77777777" w:rsidR="0014705F" w:rsidRPr="0014705F" w:rsidRDefault="0014705F" w:rsidP="0014705F">
      <w:pPr>
        <w:pStyle w:val="Corpodeltesto2"/>
      </w:pPr>
    </w:p>
    <w:p w14:paraId="15DBD573" w14:textId="77777777" w:rsidR="0014705F" w:rsidRPr="0014705F" w:rsidRDefault="0014705F" w:rsidP="0014705F">
      <w:pPr>
        <w:pStyle w:val="Corpodeltesto2"/>
      </w:pPr>
      <w:r w:rsidRPr="0014705F">
        <w:t xml:space="preserve">Secondo la norma, sono </w:t>
      </w:r>
      <w:r w:rsidRPr="0014705F">
        <w:rPr>
          <w:u w:val="single"/>
        </w:rPr>
        <w:t>esclusi</w:t>
      </w:r>
      <w:r w:rsidRPr="0014705F">
        <w:t xml:space="preserve"> dalla rivalutazione i soggetti che redigono il bilancio d’esercizio secondo gli IAS/IFRS. Per questi ultimi, viene però prevista un’apposita disciplina di riallineamento richiamando l’art. 14 comma 1 della L. 342/2000.</w:t>
      </w:r>
    </w:p>
    <w:p w14:paraId="2D984E15" w14:textId="77777777" w:rsidR="0014705F" w:rsidRPr="0014705F" w:rsidRDefault="0014705F" w:rsidP="0014705F">
      <w:pPr>
        <w:pStyle w:val="Corpodeltesto2"/>
      </w:pPr>
    </w:p>
    <w:p w14:paraId="46F84309" w14:textId="77777777" w:rsidR="0014705F" w:rsidRPr="0014705F" w:rsidRDefault="0014705F" w:rsidP="0014705F">
      <w:pPr>
        <w:pStyle w:val="Corpodeltesto2"/>
      </w:pPr>
      <w:r w:rsidRPr="0014705F">
        <w:t xml:space="preserve">Venendo all’ambito oggettivo, rilevano due distinte categorie: gli </w:t>
      </w:r>
      <w:r w:rsidRPr="0014705F">
        <w:rPr>
          <w:u w:val="single"/>
        </w:rPr>
        <w:t>immobili ammortizzabili</w:t>
      </w:r>
      <w:r w:rsidRPr="0014705F">
        <w:t xml:space="preserve"> e quelli </w:t>
      </w:r>
      <w:r w:rsidRPr="0014705F">
        <w:rPr>
          <w:u w:val="single"/>
        </w:rPr>
        <w:t>non ammortizzabili</w:t>
      </w:r>
      <w:r w:rsidRPr="0014705F">
        <w:t>. Viene utilizzata la medesima locuzione a suo tempo prevista dalla L. 147/2013, prevedendo che i maggiori valori “si considerano” riconosciuti con il versamento dell’imposta sostitutiva delle imposte sui redditi e dell’IRAP pari all’</w:t>
      </w:r>
      <w:r w:rsidRPr="0014705F">
        <w:rPr>
          <w:u w:val="single"/>
        </w:rPr>
        <w:t>8%</w:t>
      </w:r>
      <w:r w:rsidRPr="0014705F">
        <w:t xml:space="preserve"> per gli immobili ammortizzabili e del </w:t>
      </w:r>
      <w:r w:rsidRPr="0014705F">
        <w:rPr>
          <w:u w:val="single"/>
        </w:rPr>
        <w:t>4%</w:t>
      </w:r>
      <w:r w:rsidRPr="0014705F">
        <w:t xml:space="preserve"> per quelli non ammortizzabili.</w:t>
      </w:r>
    </w:p>
    <w:p w14:paraId="3D308E15" w14:textId="77777777" w:rsidR="0014705F" w:rsidRPr="0014705F" w:rsidRDefault="0014705F" w:rsidP="0014705F">
      <w:pPr>
        <w:pStyle w:val="Corpodeltesto2"/>
      </w:pPr>
    </w:p>
    <w:p w14:paraId="0AC77EFE" w14:textId="77777777" w:rsidR="0014705F" w:rsidRPr="0014705F" w:rsidRDefault="0014705F" w:rsidP="0014705F">
      <w:pPr>
        <w:pStyle w:val="Corpodeltesto2"/>
      </w:pPr>
      <w:r w:rsidRPr="0014705F">
        <w:t xml:space="preserve">Pertanto, pare che si tratterà di una rivalutazione effettuata in sede contabile che deve necessariamente assumere valenza fiscale come chiarito dalla circ. Agenzia </w:t>
      </w:r>
      <w:r w:rsidRPr="0014705F">
        <w:lastRenderedPageBreak/>
        <w:t>Entrate 4 giugno 2014 n. 13 (§ 5) proprio in merito alla rivalutazione prevista dalla L. 147/2013.</w:t>
      </w:r>
    </w:p>
    <w:p w14:paraId="225F9511" w14:textId="77777777" w:rsidR="0014705F" w:rsidRPr="0014705F" w:rsidRDefault="0014705F" w:rsidP="0014705F">
      <w:pPr>
        <w:pStyle w:val="Corpodeltesto2"/>
      </w:pPr>
    </w:p>
    <w:p w14:paraId="47E668E5" w14:textId="77777777" w:rsidR="0014705F" w:rsidRPr="0014705F" w:rsidRDefault="0014705F" w:rsidP="0014705F">
      <w:pPr>
        <w:pStyle w:val="Corpodeltesto2"/>
      </w:pPr>
      <w:r w:rsidRPr="0014705F">
        <w:t>Si conferma poi che tali imposte si computano in diminuzione del saldo attivo di rivalutazione, mentre devono essere versate in un’unica soluzione (anche attraverso compensazione) entro il termine di versamento del saldo delle imposte sui redditi dovute per il periodo di imposta con riferimento al quale la rivalutazione è eseguita.</w:t>
      </w:r>
    </w:p>
    <w:p w14:paraId="6D52EA1D" w14:textId="77777777" w:rsidR="0014705F" w:rsidRPr="0014705F" w:rsidRDefault="0014705F" w:rsidP="0014705F">
      <w:pPr>
        <w:pStyle w:val="Corpodeltesto2"/>
      </w:pPr>
    </w:p>
    <w:p w14:paraId="20EC3AF8" w14:textId="77777777" w:rsidR="0014705F" w:rsidRPr="0014705F" w:rsidRDefault="0014705F" w:rsidP="0014705F">
      <w:pPr>
        <w:pStyle w:val="Corpodeltesto2"/>
      </w:pPr>
      <w:r w:rsidRPr="0014705F">
        <w:t>La previsione per la quale l’agevolazione può essere adottata “</w:t>
      </w:r>
      <w:r w:rsidRPr="0014705F">
        <w:rPr>
          <w:u w:val="single"/>
        </w:rPr>
        <w:t>distintamente per ciascun bene”</w:t>
      </w:r>
      <w:r w:rsidRPr="0014705F">
        <w:t xml:space="preserve"> significa che non occorre rispettare il vincolo delle categorie omogenee che è stato invece previsto in passato per altre leggi di rivalutazione.</w:t>
      </w:r>
    </w:p>
    <w:p w14:paraId="219F0D3E" w14:textId="77777777" w:rsidR="0014705F" w:rsidRPr="0014705F" w:rsidRDefault="0014705F" w:rsidP="0014705F">
      <w:pPr>
        <w:pStyle w:val="Corpodeltesto2"/>
      </w:pPr>
      <w:r w:rsidRPr="0014705F">
        <w:t>Si pone quindi il tema dell’eventuale rivalutazione delle aree sottostanti ai fabbricati e per le quali si applica lo scorporo ai fini dell’ammortamento.</w:t>
      </w:r>
    </w:p>
    <w:p w14:paraId="6DCBD27F" w14:textId="77777777" w:rsidR="0014705F" w:rsidRPr="0014705F" w:rsidRDefault="0014705F" w:rsidP="0014705F">
      <w:pPr>
        <w:pStyle w:val="Corpodeltesto2"/>
      </w:pPr>
    </w:p>
    <w:p w14:paraId="3F573D36" w14:textId="77777777" w:rsidR="0014705F" w:rsidRPr="0014705F" w:rsidRDefault="0014705F" w:rsidP="0014705F">
      <w:pPr>
        <w:pStyle w:val="Corpodeltesto2"/>
      </w:pPr>
      <w:r w:rsidRPr="0014705F">
        <w:t xml:space="preserve">Al riguardo, si osserva che nella circolare del 6 maggio 2009 n. 22 (§ 2), l’Agenzia delle Entrate aveva ritenuto che, per gli immobili, potesse essere oggetto di rivalutazione il fabbricato, così come </w:t>
      </w:r>
      <w:r w:rsidRPr="0014705F">
        <w:rPr>
          <w:u w:val="single"/>
        </w:rPr>
        <w:t>l’area sottostante</w:t>
      </w:r>
      <w:r w:rsidRPr="0014705F">
        <w:t>.</w:t>
      </w:r>
    </w:p>
    <w:p w14:paraId="10D409D3" w14:textId="77777777" w:rsidR="0014705F" w:rsidRPr="0014705F" w:rsidRDefault="0014705F" w:rsidP="0014705F">
      <w:pPr>
        <w:pStyle w:val="Corpodeltesto2"/>
      </w:pPr>
      <w:r w:rsidRPr="0014705F">
        <w:t>La circolare è stata emanata a commento della disciplina di rivalutazione contenuta nell’art. 15 commi 16 ss. del DL 185/2008, la quale prevedeva le due categorie omogenee degli immobili ammortizzabili e degli immobili non ammortizzabili.</w:t>
      </w:r>
    </w:p>
    <w:p w14:paraId="3189A8E3" w14:textId="77777777" w:rsidR="0014705F" w:rsidRPr="0014705F" w:rsidRDefault="0014705F" w:rsidP="0014705F">
      <w:pPr>
        <w:pStyle w:val="Corpodeltesto2"/>
      </w:pPr>
    </w:p>
    <w:p w14:paraId="0920E003" w14:textId="77777777" w:rsidR="0014705F" w:rsidRPr="0014705F" w:rsidRDefault="0014705F" w:rsidP="0014705F">
      <w:pPr>
        <w:pStyle w:val="Corpodeltesto2"/>
      </w:pPr>
      <w:r w:rsidRPr="0014705F">
        <w:t xml:space="preserve">Come detto, le previsioni del Ddl. di bilancio 2027 (come già avveniva per la rivalutazione ex art. 110 del DL 104/2020) non contengono il vincolo del rispetto delle categorie omogenee. Pertanto, si potrebbe ipotizzare una </w:t>
      </w:r>
      <w:r w:rsidRPr="0014705F">
        <w:rPr>
          <w:u w:val="single"/>
        </w:rPr>
        <w:t>piena libertà</w:t>
      </w:r>
      <w:r w:rsidRPr="0014705F">
        <w:t xml:space="preserve"> nell’attribuire la rivalutazione, ad esempio, ad un fabbricato (ma non al terreno sottostante), così come ad un’area (ma non al fabbricato sovrastante), nel secondo caso ove il valore inespresso dell’immobile possa essere insito nel terreno.</w:t>
      </w:r>
    </w:p>
    <w:p w14:paraId="4D3E9ADF" w14:textId="77777777" w:rsidR="0014705F" w:rsidRPr="0014705F" w:rsidRDefault="0014705F" w:rsidP="0014705F">
      <w:pPr>
        <w:pStyle w:val="Corpodeltesto2"/>
      </w:pPr>
    </w:p>
    <w:p w14:paraId="75C8374C" w14:textId="77777777" w:rsidR="0014705F" w:rsidRPr="0014705F" w:rsidRDefault="0014705F" w:rsidP="0014705F">
      <w:pPr>
        <w:pStyle w:val="Corpodeltesto2"/>
      </w:pPr>
      <w:r w:rsidRPr="0014705F">
        <w:t>Se (in sede di approvazione da parte del Parlamento) non venisse modificata la norma, il tema necessiterebbe comunque di un chiarimento di fonte ufficiale.</w:t>
      </w:r>
    </w:p>
    <w:p w14:paraId="1CFE5A18" w14:textId="77777777" w:rsidR="0014705F" w:rsidRPr="0014705F" w:rsidRDefault="0014705F" w:rsidP="0014705F">
      <w:pPr>
        <w:pStyle w:val="Corpodeltesto2"/>
      </w:pPr>
      <w:r w:rsidRPr="0014705F">
        <w:t>Secondo il Ddl, il maggior valore attribuito ai beni in sede di rivalutazione si considererà riconosciuto ai fini delle imposte sui redditi e dell’IRAP a decorrere dal terzo esercizio successivo a quello con riferimento al quale la rivalutazione è stata eseguita.</w:t>
      </w:r>
    </w:p>
    <w:p w14:paraId="64D30B61" w14:textId="77777777" w:rsidR="0014705F" w:rsidRPr="0014705F" w:rsidRDefault="0014705F" w:rsidP="0014705F">
      <w:pPr>
        <w:pStyle w:val="Corpodeltesto2"/>
      </w:pPr>
    </w:p>
    <w:p w14:paraId="0F687F14" w14:textId="77777777" w:rsidR="0014705F" w:rsidRPr="0014705F" w:rsidRDefault="0014705F" w:rsidP="0014705F">
      <w:pPr>
        <w:pStyle w:val="Corpodeltesto2"/>
      </w:pPr>
      <w:r w:rsidRPr="0014705F">
        <w:t>Nel caso di cessione a titolo oneroso, di assegnazione ai soci, di destinazione a finalità estranee all’esercizio dell’impresa o al consumo personale o familiare dell’imprenditore dei beni rivalutati in data anteriore a quella di inizio del sesto esercizio successivo a quello nel cui bilancio la rivalutazione è stata eseguita, per la determinazione delle plusvalenze o minusvalenze si guarda al costo del bene prima della rivalutazione.</w:t>
      </w:r>
    </w:p>
    <w:p w14:paraId="36DFD8E4" w14:textId="77777777" w:rsidR="0014705F" w:rsidRPr="0014705F" w:rsidRDefault="0014705F" w:rsidP="0014705F">
      <w:pPr>
        <w:pStyle w:val="Corpodeltesto2"/>
      </w:pPr>
    </w:p>
    <w:p w14:paraId="44906643" w14:textId="77777777" w:rsidR="0014705F" w:rsidRPr="0014705F" w:rsidRDefault="0014705F" w:rsidP="0014705F">
      <w:pPr>
        <w:pStyle w:val="Corpodeltesto2"/>
      </w:pPr>
      <w:r w:rsidRPr="0014705F">
        <w:t xml:space="preserve">Passando al </w:t>
      </w:r>
      <w:r w:rsidRPr="0014705F">
        <w:rPr>
          <w:u w:val="single"/>
        </w:rPr>
        <w:t>saldo attivo</w:t>
      </w:r>
      <w:r w:rsidRPr="0014705F">
        <w:t xml:space="preserve"> </w:t>
      </w:r>
      <w:r w:rsidRPr="0014705F">
        <w:rPr>
          <w:u w:val="single"/>
        </w:rPr>
        <w:t>di rivalutazione</w:t>
      </w:r>
      <w:r w:rsidRPr="0014705F">
        <w:t xml:space="preserve">, come nelle precedenti versioni della norma si conferma che deve essere imputato al capitale o accantonato in una speciale riserva designata, con esclusione di ogni diversa utilizzazione, che ai fini fiscali costituisce riserva in </w:t>
      </w:r>
      <w:r w:rsidRPr="0014705F">
        <w:rPr>
          <w:u w:val="single"/>
        </w:rPr>
        <w:t>sospensione di imposta.</w:t>
      </w:r>
    </w:p>
    <w:p w14:paraId="72B00475" w14:textId="77777777" w:rsidR="0014705F" w:rsidRPr="0014705F" w:rsidRDefault="0014705F" w:rsidP="0014705F">
      <w:pPr>
        <w:pStyle w:val="Corpodeltesto2"/>
      </w:pPr>
    </w:p>
    <w:p w14:paraId="5C3120B0" w14:textId="65A800D3" w:rsidR="0014705F" w:rsidRPr="0014705F" w:rsidRDefault="0014705F" w:rsidP="0014705F">
      <w:pPr>
        <w:pStyle w:val="Corpodeltesto2"/>
      </w:pPr>
      <w:r w:rsidRPr="0014705F">
        <w:lastRenderedPageBreak/>
        <w:t xml:space="preserve">Inoltre, il saldo attivo della rivalutazione può essere affrancato, in tutto o in parte, con l’applicazione in capo alla società di una </w:t>
      </w:r>
      <w:r w:rsidRPr="0014705F">
        <w:rPr>
          <w:u w:val="single"/>
        </w:rPr>
        <w:t>imposta sostitutiva</w:t>
      </w:r>
      <w:r w:rsidRPr="0014705F">
        <w:t xml:space="preserve"> dell’imposta sul reddito delle persone fisiche, dell’imposta sul reddito delle società e dell’IRAP nella misura del 10% da versare in un’unica soluzione (anche con la compensazione) entro il medesimo termine previsto per il versamento dell’imposta sostitutiva relativa alla rivalutazione.</w:t>
      </w:r>
    </w:p>
    <w:sectPr w:rsidR="0014705F" w:rsidRPr="0014705F" w:rsidSect="002B4DD3">
      <w:headerReference w:type="default" r:id="rId7"/>
      <w:footerReference w:type="even" r:id="rId8"/>
      <w:footerReference w:type="default" r:id="rId9"/>
      <w:footerReference w:type="first" r:id="rId10"/>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F7866" w14:textId="77777777" w:rsidR="00ED677F" w:rsidRDefault="00ED677F" w:rsidP="00A32F6D">
      <w:r>
        <w:separator/>
      </w:r>
    </w:p>
  </w:endnote>
  <w:endnote w:type="continuationSeparator" w:id="0">
    <w:p w14:paraId="0CF07AB4" w14:textId="77777777" w:rsidR="00ED677F" w:rsidRDefault="00ED677F"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9D177" w14:textId="77777777" w:rsidR="00ED677F" w:rsidRDefault="00ED677F" w:rsidP="00A32F6D">
      <w:r>
        <w:separator/>
      </w:r>
    </w:p>
  </w:footnote>
  <w:footnote w:type="continuationSeparator" w:id="0">
    <w:p w14:paraId="47AD1B85" w14:textId="77777777" w:rsidR="00ED677F" w:rsidRDefault="00ED677F"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0C4"/>
    <w:multiLevelType w:val="hybridMultilevel"/>
    <w:tmpl w:val="E1CE38A4"/>
    <w:lvl w:ilvl="0" w:tplc="B8D42FAA">
      <w:start w:val="3"/>
      <w:numFmt w:val="bullet"/>
      <w:lvlText w:val="-"/>
      <w:lvlJc w:val="left"/>
      <w:pPr>
        <w:ind w:left="720" w:hanging="360"/>
      </w:pPr>
      <w:rPr>
        <w:rFonts w:ascii="Century" w:eastAsia="Times New Roman" w:hAnsi="Century"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DF40158"/>
    <w:multiLevelType w:val="hybridMultilevel"/>
    <w:tmpl w:val="8780C934"/>
    <w:lvl w:ilvl="0" w:tplc="26CE1644">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44B14"/>
    <w:multiLevelType w:val="multilevel"/>
    <w:tmpl w:val="F29E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E8515D2"/>
    <w:multiLevelType w:val="hybridMultilevel"/>
    <w:tmpl w:val="9D2E8788"/>
    <w:lvl w:ilvl="0" w:tplc="8FDA261E">
      <w:start w:val="3"/>
      <w:numFmt w:val="bullet"/>
      <w:lvlText w:val="-"/>
      <w:lvlJc w:val="left"/>
      <w:pPr>
        <w:ind w:left="720" w:hanging="360"/>
      </w:pPr>
      <w:rPr>
        <w:rFonts w:ascii="Century" w:eastAsia="Times New Roman" w:hAnsi="Century" w:cs="Times New Roman"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53A6497"/>
    <w:multiLevelType w:val="hybridMultilevel"/>
    <w:tmpl w:val="54F81D8A"/>
    <w:lvl w:ilvl="0" w:tplc="23F2448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2C172A1A"/>
    <w:multiLevelType w:val="hybridMultilevel"/>
    <w:tmpl w:val="C33698A0"/>
    <w:lvl w:ilvl="0" w:tplc="2A96393A">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319C7916"/>
    <w:multiLevelType w:val="hybridMultilevel"/>
    <w:tmpl w:val="EF949D24"/>
    <w:lvl w:ilvl="0" w:tplc="E3303A1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5B35E68"/>
    <w:multiLevelType w:val="hybridMultilevel"/>
    <w:tmpl w:val="507AD78A"/>
    <w:lvl w:ilvl="0" w:tplc="C986CF4C">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21A1290"/>
    <w:multiLevelType w:val="hybridMultilevel"/>
    <w:tmpl w:val="7FD46B5C"/>
    <w:lvl w:ilvl="0" w:tplc="9C92F9EC">
      <w:start w:val="3"/>
      <w:numFmt w:val="bullet"/>
      <w:lvlText w:val="-"/>
      <w:lvlJc w:val="left"/>
      <w:pPr>
        <w:ind w:left="420" w:hanging="360"/>
      </w:pPr>
      <w:rPr>
        <w:rFonts w:ascii="Century" w:eastAsia="Times New Roman" w:hAnsi="Century" w:cs="Times New Roman" w:hint="default"/>
        <w:u w:val="none"/>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0" w15:restartNumberingAfterBreak="0">
    <w:nsid w:val="43B77922"/>
    <w:multiLevelType w:val="hybridMultilevel"/>
    <w:tmpl w:val="D034E4CC"/>
    <w:lvl w:ilvl="0" w:tplc="9850C136">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4"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9" w15:restartNumberingAfterBreak="0">
    <w:nsid w:val="707762D8"/>
    <w:multiLevelType w:val="hybridMultilevel"/>
    <w:tmpl w:val="A73E8B44"/>
    <w:lvl w:ilvl="0" w:tplc="D90E727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1"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14"/>
  </w:num>
  <w:num w:numId="2" w16cid:durableId="662272964">
    <w:abstractNumId w:val="25"/>
  </w:num>
  <w:num w:numId="3" w16cid:durableId="353776043">
    <w:abstractNumId w:val="30"/>
  </w:num>
  <w:num w:numId="4" w16cid:durableId="1616669055">
    <w:abstractNumId w:val="10"/>
  </w:num>
  <w:num w:numId="5" w16cid:durableId="1844130009">
    <w:abstractNumId w:val="8"/>
  </w:num>
  <w:num w:numId="6" w16cid:durableId="2116631285">
    <w:abstractNumId w:val="21"/>
  </w:num>
  <w:num w:numId="7" w16cid:durableId="1462921736">
    <w:abstractNumId w:val="31"/>
  </w:num>
  <w:num w:numId="8" w16cid:durableId="95254443">
    <w:abstractNumId w:val="18"/>
  </w:num>
  <w:num w:numId="9" w16cid:durableId="272784366">
    <w:abstractNumId w:val="23"/>
  </w:num>
  <w:num w:numId="10" w16cid:durableId="551423960">
    <w:abstractNumId w:val="12"/>
  </w:num>
  <w:num w:numId="11" w16cid:durableId="1853564208">
    <w:abstractNumId w:val="1"/>
  </w:num>
  <w:num w:numId="12" w16cid:durableId="800532907">
    <w:abstractNumId w:val="3"/>
  </w:num>
  <w:num w:numId="13" w16cid:durableId="463816025">
    <w:abstractNumId w:val="26"/>
  </w:num>
  <w:num w:numId="14" w16cid:durableId="2102797573">
    <w:abstractNumId w:val="28"/>
  </w:num>
  <w:num w:numId="15" w16cid:durableId="1331981394">
    <w:abstractNumId w:val="32"/>
  </w:num>
  <w:num w:numId="16" w16cid:durableId="261425994">
    <w:abstractNumId w:val="5"/>
  </w:num>
  <w:num w:numId="17" w16cid:durableId="687219582">
    <w:abstractNumId w:val="17"/>
  </w:num>
  <w:num w:numId="18" w16cid:durableId="425343916">
    <w:abstractNumId w:val="27"/>
  </w:num>
  <w:num w:numId="19" w16cid:durableId="521167879">
    <w:abstractNumId w:val="2"/>
  </w:num>
  <w:num w:numId="20" w16cid:durableId="73018300">
    <w:abstractNumId w:val="22"/>
  </w:num>
  <w:num w:numId="21" w16cid:durableId="1147672760">
    <w:abstractNumId w:val="24"/>
  </w:num>
  <w:num w:numId="22" w16cid:durableId="616722941">
    <w:abstractNumId w:val="6"/>
  </w:num>
  <w:num w:numId="23" w16cid:durableId="1197768387">
    <w:abstractNumId w:val="16"/>
  </w:num>
  <w:num w:numId="24" w16cid:durableId="329332146">
    <w:abstractNumId w:val="7"/>
  </w:num>
  <w:num w:numId="25" w16cid:durableId="833956791">
    <w:abstractNumId w:val="19"/>
  </w:num>
  <w:num w:numId="26" w16cid:durableId="862135947">
    <w:abstractNumId w:val="0"/>
  </w:num>
  <w:num w:numId="27" w16cid:durableId="979113401">
    <w:abstractNumId w:val="4"/>
  </w:num>
  <w:num w:numId="28" w16cid:durableId="1117525001">
    <w:abstractNumId w:val="20"/>
  </w:num>
  <w:num w:numId="29" w16cid:durableId="1421295469">
    <w:abstractNumId w:val="29"/>
  </w:num>
  <w:num w:numId="30" w16cid:durableId="1835878442">
    <w:abstractNumId w:val="9"/>
  </w:num>
  <w:num w:numId="31" w16cid:durableId="835345990">
    <w:abstractNumId w:val="15"/>
  </w:num>
  <w:num w:numId="32" w16cid:durableId="1523087581">
    <w:abstractNumId w:val="13"/>
  </w:num>
  <w:num w:numId="33" w16cid:durableId="943852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0A2660"/>
    <w:rsid w:val="0014705F"/>
    <w:rsid w:val="00205F1F"/>
    <w:rsid w:val="00265818"/>
    <w:rsid w:val="00280D4E"/>
    <w:rsid w:val="00284C59"/>
    <w:rsid w:val="002B2E80"/>
    <w:rsid w:val="002B4DD3"/>
    <w:rsid w:val="003363A3"/>
    <w:rsid w:val="003556F9"/>
    <w:rsid w:val="0037360F"/>
    <w:rsid w:val="00394758"/>
    <w:rsid w:val="003A6EA7"/>
    <w:rsid w:val="003D6BED"/>
    <w:rsid w:val="00462257"/>
    <w:rsid w:val="004A2919"/>
    <w:rsid w:val="004B0420"/>
    <w:rsid w:val="00503BB1"/>
    <w:rsid w:val="00534569"/>
    <w:rsid w:val="0054469D"/>
    <w:rsid w:val="005D1430"/>
    <w:rsid w:val="005F75F5"/>
    <w:rsid w:val="00627F03"/>
    <w:rsid w:val="00637D2C"/>
    <w:rsid w:val="00695650"/>
    <w:rsid w:val="006A0ADA"/>
    <w:rsid w:val="006A41A2"/>
    <w:rsid w:val="006E0FE1"/>
    <w:rsid w:val="006F7B3E"/>
    <w:rsid w:val="00710C35"/>
    <w:rsid w:val="00710D33"/>
    <w:rsid w:val="007279FD"/>
    <w:rsid w:val="00746C16"/>
    <w:rsid w:val="007605B6"/>
    <w:rsid w:val="007760E9"/>
    <w:rsid w:val="0084412C"/>
    <w:rsid w:val="00864620"/>
    <w:rsid w:val="008744E7"/>
    <w:rsid w:val="008E38AF"/>
    <w:rsid w:val="00913301"/>
    <w:rsid w:val="00945FE0"/>
    <w:rsid w:val="009716B3"/>
    <w:rsid w:val="009C4667"/>
    <w:rsid w:val="00A23798"/>
    <w:rsid w:val="00A250B0"/>
    <w:rsid w:val="00A32F6D"/>
    <w:rsid w:val="00A7742F"/>
    <w:rsid w:val="00AC6259"/>
    <w:rsid w:val="00B47718"/>
    <w:rsid w:val="00B827D3"/>
    <w:rsid w:val="00B93C06"/>
    <w:rsid w:val="00BA3538"/>
    <w:rsid w:val="00BB12F6"/>
    <w:rsid w:val="00C46AF2"/>
    <w:rsid w:val="00CB1497"/>
    <w:rsid w:val="00CC35B9"/>
    <w:rsid w:val="00D25E24"/>
    <w:rsid w:val="00D37BA0"/>
    <w:rsid w:val="00D620A4"/>
    <w:rsid w:val="00D81B8C"/>
    <w:rsid w:val="00DF5BE5"/>
    <w:rsid w:val="00DF6D65"/>
    <w:rsid w:val="00E2323C"/>
    <w:rsid w:val="00E45CD4"/>
    <w:rsid w:val="00E803BA"/>
    <w:rsid w:val="00ED677F"/>
    <w:rsid w:val="00EE27B3"/>
    <w:rsid w:val="00F24E1A"/>
    <w:rsid w:val="00F84834"/>
    <w:rsid w:val="00FB0ADB"/>
    <w:rsid w:val="00FD4C19"/>
    <w:rsid w:val="00FE2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857</Words>
  <Characters>4888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39</cp:revision>
  <cp:lastPrinted>2018-01-16T09:21:00Z</cp:lastPrinted>
  <dcterms:created xsi:type="dcterms:W3CDTF">2017-01-17T14:20:00Z</dcterms:created>
  <dcterms:modified xsi:type="dcterms:W3CDTF">2026-11-06T08:48:00Z</dcterms:modified>
</cp:coreProperties>
</file>